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left" w:pos="63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both"/>
        <w:textAlignment w:val="auto"/>
        <w:rPr>
          <w:rFonts w:hint="eastAsia" w:ascii="方正仿宋_GBK" w:hAnsi="Calibri" w:eastAsia="方正仿宋_GBK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tabs>
          <w:tab w:val="left" w:pos="63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both"/>
        <w:textAlignment w:val="auto"/>
        <w:rPr>
          <w:rFonts w:hint="eastAsia" w:ascii="方正仿宋_GBK" w:hAnsi="Calibri" w:eastAsia="方正仿宋_GBK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tabs>
          <w:tab w:val="left" w:pos="63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both"/>
        <w:textAlignment w:val="auto"/>
        <w:rPr>
          <w:rFonts w:hint="eastAsia" w:ascii="方正仿宋_GBK" w:hAnsi="Calibri" w:eastAsia="方正仿宋_GBK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tabs>
          <w:tab w:val="left" w:pos="63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both"/>
        <w:textAlignment w:val="auto"/>
        <w:rPr>
          <w:rFonts w:hint="eastAsia" w:ascii="方正仿宋_GBK" w:hAnsi="Calibri" w:eastAsia="方正仿宋_GBK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tabs>
          <w:tab w:val="left" w:pos="63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both"/>
        <w:textAlignment w:val="auto"/>
        <w:rPr>
          <w:rFonts w:hint="eastAsia" w:ascii="方正仿宋_GBK" w:hAnsi="Calibri" w:eastAsia="方正仿宋_GBK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tabs>
          <w:tab w:val="left" w:pos="63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both"/>
        <w:textAlignment w:val="auto"/>
        <w:rPr>
          <w:rFonts w:hint="eastAsia" w:ascii="方正仿宋_GBK" w:hAnsi="Calibri" w:eastAsia="方正仿宋_GBK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tabs>
          <w:tab w:val="left" w:pos="63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both"/>
        <w:textAlignment w:val="auto"/>
        <w:rPr>
          <w:rFonts w:hint="eastAsia" w:ascii="方正仿宋_GBK" w:hAnsi="Calibri" w:eastAsia="方正仿宋_GBK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tabs>
          <w:tab w:val="left" w:pos="63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469" w:beforeLines="150" w:line="560" w:lineRule="exact"/>
        <w:ind w:firstLine="0" w:firstLineChars="0"/>
        <w:jc w:val="center"/>
        <w:textAlignment w:val="auto"/>
        <w:rPr>
          <w:rFonts w:hint="eastAsia" w:ascii="方正仿宋_GBK" w:hAnsi="Calibri" w:eastAsia="方正仿宋_GBK" w:cs="Times New Roman"/>
          <w:color w:val="auto"/>
          <w:sz w:val="32"/>
          <w:szCs w:val="32"/>
        </w:rPr>
      </w:pPr>
      <w:r>
        <w:rPr>
          <w:rFonts w:hint="eastAsia" w:ascii="方正仿宋_GBK" w:hAnsi="Calibri" w:eastAsia="方正仿宋_GBK" w:cs="Times New Roman"/>
          <w:color w:val="auto"/>
          <w:sz w:val="32"/>
          <w:szCs w:val="32"/>
          <w:lang w:eastAsia="zh-CN"/>
        </w:rPr>
        <w:t>重</w:t>
      </w:r>
      <w:r>
        <w:rPr>
          <w:rFonts w:hint="eastAsia" w:ascii="方正仿宋_GBK" w:hAnsi="Calibri" w:eastAsia="方正仿宋_GBK" w:cs="Times New Roman"/>
          <w:color w:val="auto"/>
          <w:sz w:val="32"/>
          <w:szCs w:val="32"/>
        </w:rPr>
        <w:t>城职</w:t>
      </w:r>
      <w:r>
        <w:rPr>
          <w:rFonts w:hint="eastAsia" w:ascii="方正仿宋_GBK" w:hAnsi="Calibri" w:eastAsia="方正仿宋_GBK" w:cs="Times New Roman"/>
          <w:color w:val="auto"/>
          <w:sz w:val="32"/>
          <w:szCs w:val="32"/>
          <w:lang w:val="en-US" w:eastAsia="zh-CN"/>
        </w:rPr>
        <w:t>院</w:t>
      </w:r>
      <w:r>
        <w:rPr>
          <w:rFonts w:hint="eastAsia" w:ascii="方正仿宋_GBK" w:eastAsia="方正仿宋_GBK" w:cs="Times New Roman"/>
          <w:color w:val="auto"/>
          <w:sz w:val="32"/>
          <w:szCs w:val="32"/>
          <w:lang w:val="en-US" w:eastAsia="zh-CN"/>
        </w:rPr>
        <w:t>学</w:t>
      </w:r>
      <w:r>
        <w:rPr>
          <w:rFonts w:hint="eastAsia" w:ascii="方正仿宋_GBK" w:hAnsi="Calibri" w:eastAsia="方正仿宋_GBK" w:cs="Times New Roman"/>
          <w:color w:val="auto"/>
          <w:sz w:val="32"/>
          <w:szCs w:val="32"/>
        </w:rPr>
        <w:t>〔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2024</w:t>
      </w:r>
      <w:r>
        <w:rPr>
          <w:rFonts w:hint="eastAsia" w:ascii="方正仿宋_GBK" w:hAnsi="Calibri" w:eastAsia="方正仿宋_GBK" w:cs="Times New Roman"/>
          <w:color w:val="auto"/>
          <w:sz w:val="32"/>
          <w:szCs w:val="32"/>
        </w:rPr>
        <w:t>〕</w:t>
      </w:r>
      <w:r>
        <w:rPr>
          <w:rFonts w:hint="eastAsia" w:ascii="方正仿宋_GBK" w:hAnsi="Calibri" w:eastAsia="方正仿宋_GBK" w:cs="Times New Roman"/>
          <w:color w:val="auto"/>
          <w:sz w:val="32"/>
          <w:szCs w:val="32"/>
          <w:lang w:val="en-US" w:eastAsia="zh-CN"/>
        </w:rPr>
        <w:t>1</w:t>
      </w:r>
      <w:r>
        <w:rPr>
          <w:rFonts w:hint="eastAsia" w:ascii="方正仿宋_GBK" w:eastAsia="方正仿宋_GBK" w:cs="Times New Roman"/>
          <w:color w:val="auto"/>
          <w:sz w:val="32"/>
          <w:szCs w:val="32"/>
          <w:lang w:val="en-US" w:eastAsia="zh-CN"/>
        </w:rPr>
        <w:t>5</w:t>
      </w:r>
      <w:bookmarkStart w:id="0" w:name="_GoBack"/>
      <w:bookmarkEnd w:id="0"/>
      <w:r>
        <w:rPr>
          <w:rFonts w:hint="eastAsia" w:ascii="方正仿宋_GBK" w:hAnsi="Calibri" w:eastAsia="方正仿宋_GBK" w:cs="Times New Roman"/>
          <w:color w:val="auto"/>
          <w:sz w:val="32"/>
          <w:szCs w:val="32"/>
        </w:rPr>
        <w:t>号</w:t>
      </w:r>
    </w:p>
    <w:p>
      <w:pPr>
        <w:keepNext w:val="0"/>
        <w:keepLines w:val="0"/>
        <w:pageBreakBefore w:val="0"/>
        <w:tabs>
          <w:tab w:val="left" w:pos="181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ascii="仿宋_GB2312" w:hAnsi="Calibri" w:eastAsia="仿宋_GB2312" w:cs="Times New Roman"/>
          <w:color w:val="auto"/>
          <w:sz w:val="32"/>
          <w:szCs w:val="32"/>
        </w:rPr>
      </w:pPr>
      <w:r>
        <w:rPr>
          <w:rFonts w:ascii="仿宋_GB2312" w:hAnsi="Calibri" w:eastAsia="仿宋_GB2312" w:cs="Times New Roman"/>
          <w:color w:val="auto"/>
          <w:sz w:val="32"/>
          <w:szCs w:val="32"/>
        </w:rPr>
        <w:tab/>
      </w:r>
    </w:p>
    <w:p>
      <w:pPr>
        <w:keepNext w:val="0"/>
        <w:keepLines w:val="0"/>
        <w:pageBreakBefore w:val="0"/>
        <w:tabs>
          <w:tab w:val="left" w:pos="181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hint="eastAsia" w:ascii="仿宋_GB2312" w:hAnsi="Calibri" w:eastAsia="仿宋_GB2312" w:cs="Times New Roman"/>
          <w:b/>
          <w:bCs/>
          <w:color w:val="auto"/>
          <w:sz w:val="32"/>
          <w:szCs w:val="32"/>
        </w:rPr>
      </w:pPr>
    </w:p>
    <w:p>
      <w:pPr>
        <w:spacing w:line="560" w:lineRule="exact"/>
        <w:jc w:val="center"/>
        <w:rPr>
          <w:rFonts w:ascii="Times New Roman" w:hAnsi="Times New Roman" w:eastAsia="方正小标宋_GBK" w:cs="Times New Roman"/>
          <w:bCs/>
          <w:sz w:val="44"/>
          <w:szCs w:val="44"/>
        </w:rPr>
      </w:pPr>
      <w:r>
        <w:rPr>
          <w:rFonts w:ascii="Times New Roman" w:hAnsi="Times New Roman" w:eastAsia="方正小标宋_GBK" w:cs="Times New Roman"/>
          <w:bCs/>
          <w:sz w:val="44"/>
          <w:szCs w:val="44"/>
        </w:rPr>
        <w:t>重庆城市职业学院</w:t>
      </w:r>
    </w:p>
    <w:p>
      <w:pPr>
        <w:spacing w:line="560" w:lineRule="exact"/>
        <w:jc w:val="center"/>
        <w:rPr>
          <w:rFonts w:ascii="Times New Roman" w:hAnsi="Times New Roman" w:eastAsia="方正小标宋_GBK" w:cs="Times New Roman"/>
          <w:bCs/>
          <w:sz w:val="44"/>
          <w:szCs w:val="44"/>
        </w:rPr>
      </w:pPr>
      <w:r>
        <w:rPr>
          <w:rFonts w:ascii="Times New Roman" w:hAnsi="Times New Roman" w:eastAsia="方正小标宋_GBK" w:cs="Times New Roman"/>
          <w:bCs/>
          <w:sz w:val="44"/>
          <w:szCs w:val="44"/>
        </w:rPr>
        <w:t>关于印发</w:t>
      </w:r>
      <w:r>
        <w:rPr>
          <w:rFonts w:hint="eastAsia" w:ascii="Times New Roman" w:hAnsi="Times New Roman" w:eastAsia="方正小标宋_GBK" w:cs="Times New Roman"/>
          <w:bCs/>
          <w:sz w:val="44"/>
          <w:szCs w:val="44"/>
          <w:lang w:eastAsia="zh-CN"/>
        </w:rPr>
        <w:t>《</w:t>
      </w:r>
      <w:r>
        <w:rPr>
          <w:rFonts w:ascii="Times New Roman" w:hAnsi="Times New Roman" w:eastAsia="方正小标宋_GBK" w:cs="Times New Roman"/>
          <w:bCs/>
          <w:sz w:val="44"/>
          <w:szCs w:val="44"/>
        </w:rPr>
        <w:t>学生综合测评管理办法</w:t>
      </w:r>
      <w:r>
        <w:rPr>
          <w:rFonts w:hint="eastAsia" w:ascii="Times New Roman" w:hAnsi="Times New Roman" w:eastAsia="方正小标宋_GBK" w:cs="Times New Roman"/>
          <w:bCs/>
          <w:sz w:val="44"/>
          <w:szCs w:val="44"/>
          <w:lang w:eastAsia="zh-CN"/>
        </w:rPr>
        <w:t>》</w:t>
      </w:r>
      <w:r>
        <w:rPr>
          <w:rFonts w:ascii="Times New Roman" w:hAnsi="Times New Roman" w:eastAsia="方正小标宋_GBK" w:cs="Times New Roman"/>
          <w:bCs/>
          <w:sz w:val="44"/>
          <w:szCs w:val="44"/>
        </w:rPr>
        <w:t>的</w:t>
      </w:r>
    </w:p>
    <w:p>
      <w:pPr>
        <w:spacing w:line="560" w:lineRule="exact"/>
        <w:jc w:val="center"/>
        <w:rPr>
          <w:rFonts w:ascii="Times New Roman" w:hAnsi="Times New Roman" w:eastAsia="方正小标宋_GBK" w:cs="Times New Roman"/>
          <w:bCs/>
          <w:sz w:val="44"/>
          <w:szCs w:val="44"/>
        </w:rPr>
      </w:pPr>
      <w:r>
        <w:rPr>
          <w:rFonts w:ascii="Times New Roman" w:hAnsi="Times New Roman" w:eastAsia="方正小标宋_GBK" w:cs="Times New Roman"/>
          <w:bCs/>
          <w:sz w:val="44"/>
          <w:szCs w:val="44"/>
        </w:rPr>
        <w:t>通</w:t>
      </w:r>
      <w:r>
        <w:rPr>
          <w:rFonts w:hint="eastAsia" w:ascii="Times New Roman" w:hAnsi="Times New Roman" w:eastAsia="方正小标宋_GBK" w:cs="Times New Roman"/>
          <w:bCs/>
          <w:sz w:val="44"/>
          <w:szCs w:val="44"/>
          <w:lang w:val="en-US" w:eastAsia="zh-CN"/>
        </w:rPr>
        <w:t xml:space="preserve">  </w:t>
      </w:r>
      <w:r>
        <w:rPr>
          <w:rFonts w:ascii="Times New Roman" w:hAnsi="Times New Roman" w:eastAsia="方正小标宋_GBK" w:cs="Times New Roman"/>
          <w:bCs/>
          <w:sz w:val="44"/>
          <w:szCs w:val="44"/>
        </w:rPr>
        <w:t>知</w:t>
      </w:r>
    </w:p>
    <w:p>
      <w:pPr>
        <w:widowControl/>
        <w:spacing w:line="560" w:lineRule="exact"/>
        <w:rPr>
          <w:rFonts w:ascii="Times New Roman" w:hAnsi="Times New Roman" w:eastAsia="方正仿宋_GBK" w:cs="Times New Roman"/>
          <w:kern w:val="0"/>
          <w:sz w:val="32"/>
          <w:szCs w:val="32"/>
        </w:rPr>
      </w:pPr>
    </w:p>
    <w:p>
      <w:pPr>
        <w:widowControl/>
        <w:spacing w:line="560" w:lineRule="exact"/>
        <w:rPr>
          <w:rFonts w:ascii="Times New Roman" w:hAnsi="Times New Roman" w:eastAsia="方正仿宋_GBK" w:cs="Times New Roman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kern w:val="0"/>
          <w:sz w:val="32"/>
          <w:szCs w:val="32"/>
        </w:rPr>
        <w:t>校属各单位：</w:t>
      </w:r>
    </w:p>
    <w:p>
      <w:pPr>
        <w:widowControl/>
        <w:spacing w:line="560" w:lineRule="exact"/>
        <w:ind w:firstLine="640" w:firstLineChars="200"/>
        <w:rPr>
          <w:rFonts w:ascii="Times New Roman" w:hAnsi="Times New Roman" w:eastAsia="方正仿宋_GBK" w:cs="Times New Roman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kern w:val="0"/>
          <w:sz w:val="32"/>
          <w:szCs w:val="32"/>
        </w:rPr>
        <w:t>《重庆城市职业学院学生综合测评管理办法》经</w:t>
      </w:r>
      <w:r>
        <w:rPr>
          <w:rFonts w:hint="eastAsia" w:ascii="Times New Roman" w:hAnsi="Times New Roman" w:eastAsia="方正仿宋_GBK" w:cs="Times New Roman"/>
          <w:kern w:val="0"/>
          <w:sz w:val="32"/>
          <w:szCs w:val="32"/>
          <w:lang w:val="en-US" w:eastAsia="zh-CN"/>
        </w:rPr>
        <w:t>2024年6月17日第19次</w:t>
      </w:r>
      <w:r>
        <w:rPr>
          <w:rFonts w:ascii="Times New Roman" w:hAnsi="Times New Roman" w:eastAsia="方正仿宋_GBK" w:cs="Times New Roman"/>
          <w:kern w:val="0"/>
          <w:sz w:val="32"/>
          <w:szCs w:val="32"/>
        </w:rPr>
        <w:t>校长办公会议审定，现</w:t>
      </w:r>
      <w:r>
        <w:rPr>
          <w:rFonts w:hint="eastAsia" w:ascii="Times New Roman" w:hAnsi="Times New Roman" w:eastAsia="方正仿宋_GBK" w:cs="Times New Roman"/>
          <w:kern w:val="0"/>
          <w:sz w:val="32"/>
          <w:szCs w:val="32"/>
          <w:lang w:eastAsia="zh-CN"/>
        </w:rPr>
        <w:t>予以印发</w:t>
      </w:r>
      <w:r>
        <w:rPr>
          <w:rFonts w:ascii="Times New Roman" w:hAnsi="Times New Roman" w:eastAsia="方正仿宋_GBK" w:cs="Times New Roman"/>
          <w:kern w:val="0"/>
          <w:sz w:val="32"/>
          <w:szCs w:val="32"/>
        </w:rPr>
        <w:t>，请</w:t>
      </w:r>
      <w:r>
        <w:rPr>
          <w:rFonts w:hint="eastAsia" w:ascii="Times New Roman" w:hAnsi="Times New Roman" w:eastAsia="方正仿宋_GBK" w:cs="Times New Roman"/>
          <w:kern w:val="0"/>
          <w:sz w:val="32"/>
          <w:szCs w:val="32"/>
          <w:lang w:eastAsia="zh-CN"/>
        </w:rPr>
        <w:t>认真贯彻</w:t>
      </w:r>
      <w:r>
        <w:rPr>
          <w:rFonts w:hint="eastAsia" w:ascii="Times New Roman" w:hAnsi="Times New Roman" w:eastAsia="方正仿宋_GBK" w:cs="Times New Roman"/>
          <w:kern w:val="0"/>
          <w:sz w:val="32"/>
          <w:szCs w:val="32"/>
          <w:lang w:val="en-US" w:eastAsia="zh-CN"/>
        </w:rPr>
        <w:t>执行</w:t>
      </w:r>
      <w:r>
        <w:rPr>
          <w:rFonts w:ascii="Times New Roman" w:hAnsi="Times New Roman" w:eastAsia="方正仿宋_GBK" w:cs="Times New Roman"/>
          <w:kern w:val="0"/>
          <w:sz w:val="32"/>
          <w:szCs w:val="32"/>
        </w:rPr>
        <w:t>。</w:t>
      </w:r>
    </w:p>
    <w:p>
      <w:pPr>
        <w:pStyle w:val="2"/>
        <w:spacing w:line="560" w:lineRule="exact"/>
        <w:rPr>
          <w:rFonts w:ascii="Times New Roman" w:hAnsi="Times New Roman"/>
          <w:kern w:val="0"/>
          <w:sz w:val="32"/>
          <w:szCs w:val="32"/>
        </w:rPr>
      </w:pPr>
    </w:p>
    <w:p>
      <w:pPr>
        <w:widowControl/>
        <w:spacing w:line="560" w:lineRule="exact"/>
        <w:ind w:firstLine="5120" w:firstLineChars="1600"/>
        <w:rPr>
          <w:rFonts w:ascii="Times New Roman" w:hAnsi="Times New Roman" w:eastAsia="方正仿宋_GBK" w:cs="Times New Roman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kern w:val="0"/>
          <w:sz w:val="32"/>
          <w:szCs w:val="32"/>
        </w:rPr>
        <w:t>重庆城市职业学院</w:t>
      </w:r>
    </w:p>
    <w:p>
      <w:pPr>
        <w:widowControl/>
        <w:spacing w:line="560" w:lineRule="exact"/>
        <w:ind w:firstLine="5280" w:firstLineChars="1650"/>
        <w:rPr>
          <w:rFonts w:ascii="Times New Roman" w:hAnsi="Times New Roman" w:eastAsia="方正仿宋_GBK" w:cs="Times New Roman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kern w:val="0"/>
          <w:sz w:val="32"/>
          <w:szCs w:val="32"/>
        </w:rPr>
        <w:t>2024年6月</w:t>
      </w:r>
      <w:r>
        <w:rPr>
          <w:rFonts w:hint="eastAsia" w:ascii="Times New Roman" w:hAnsi="Times New Roman" w:eastAsia="方正仿宋_GBK" w:cs="Times New Roman"/>
          <w:kern w:val="0"/>
          <w:sz w:val="32"/>
          <w:szCs w:val="32"/>
          <w:lang w:val="en-US" w:eastAsia="zh-CN"/>
        </w:rPr>
        <w:t>26</w:t>
      </w:r>
      <w:r>
        <w:rPr>
          <w:rFonts w:ascii="Times New Roman" w:hAnsi="Times New Roman" w:eastAsia="方正仿宋_GBK" w:cs="Times New Roman"/>
          <w:kern w:val="0"/>
          <w:sz w:val="32"/>
          <w:szCs w:val="32"/>
        </w:rPr>
        <w:t>日</w:t>
      </w:r>
    </w:p>
    <w:p>
      <w:pPr>
        <w:spacing w:line="560" w:lineRule="exact"/>
        <w:rPr>
          <w:rFonts w:ascii="Times New Roman" w:hAnsi="Times New Roman" w:eastAsia="方正小标宋_GBK" w:cs="Times New Roman"/>
          <w:sz w:val="44"/>
          <w:szCs w:val="44"/>
        </w:rPr>
      </w:pPr>
      <w:r>
        <w:rPr>
          <w:rFonts w:ascii="Times New Roman" w:hAnsi="Times New Roman" w:eastAsia="方正小标宋_GBK" w:cs="Times New Roman"/>
          <w:sz w:val="44"/>
          <w:szCs w:val="44"/>
        </w:rPr>
        <w:br w:type="page"/>
      </w:r>
    </w:p>
    <w:p>
      <w:pPr>
        <w:spacing w:line="560" w:lineRule="exact"/>
        <w:jc w:val="center"/>
        <w:rPr>
          <w:rFonts w:ascii="Times New Roman" w:hAnsi="Times New Roman" w:eastAsia="方正小标宋_GBK" w:cs="Times New Roman"/>
          <w:sz w:val="44"/>
          <w:szCs w:val="44"/>
        </w:rPr>
      </w:pPr>
      <w:r>
        <w:rPr>
          <w:rFonts w:ascii="Times New Roman" w:hAnsi="Times New Roman" w:eastAsia="方正小标宋_GBK" w:cs="Times New Roman"/>
          <w:sz w:val="44"/>
          <w:szCs w:val="44"/>
        </w:rPr>
        <w:t>重庆城市职业学院</w:t>
      </w:r>
    </w:p>
    <w:p>
      <w:pPr>
        <w:spacing w:line="560" w:lineRule="exact"/>
        <w:jc w:val="center"/>
        <w:rPr>
          <w:rFonts w:ascii="Times New Roman" w:hAnsi="Times New Roman" w:eastAsia="方正小标宋_GBK" w:cs="Times New Roman"/>
          <w:sz w:val="44"/>
          <w:szCs w:val="44"/>
        </w:rPr>
      </w:pPr>
      <w:r>
        <w:rPr>
          <w:rFonts w:ascii="Times New Roman" w:hAnsi="Times New Roman" w:eastAsia="方正小标宋_GBK" w:cs="Times New Roman"/>
          <w:sz w:val="44"/>
          <w:szCs w:val="44"/>
        </w:rPr>
        <w:t>学生综合测评管理办法</w:t>
      </w:r>
    </w:p>
    <w:p>
      <w:pPr>
        <w:spacing w:line="560" w:lineRule="exact"/>
        <w:jc w:val="center"/>
        <w:rPr>
          <w:rFonts w:ascii="Times New Roman" w:hAnsi="Times New Roman" w:eastAsia="方正仿宋_GBK" w:cs="Times New Roman"/>
          <w:sz w:val="32"/>
          <w:szCs w:val="32"/>
        </w:rPr>
      </w:pPr>
    </w:p>
    <w:p>
      <w:pPr>
        <w:spacing w:line="560" w:lineRule="exact"/>
        <w:jc w:val="center"/>
        <w:rPr>
          <w:rFonts w:ascii="Times New Roman" w:hAnsi="Times New Roman" w:eastAsia="方正黑体_GBK" w:cs="Times New Roman"/>
          <w:sz w:val="32"/>
          <w:szCs w:val="32"/>
        </w:rPr>
      </w:pPr>
      <w:r>
        <w:rPr>
          <w:rFonts w:ascii="Times New Roman" w:hAnsi="Times New Roman" w:eastAsia="方正黑体_GBK" w:cs="Times New Roman"/>
          <w:sz w:val="32"/>
          <w:szCs w:val="32"/>
        </w:rPr>
        <w:t xml:space="preserve">第一章 </w:t>
      </w:r>
      <w:r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  <w:t xml:space="preserve"> </w:t>
      </w:r>
      <w:r>
        <w:rPr>
          <w:rFonts w:ascii="Times New Roman" w:hAnsi="Times New Roman" w:eastAsia="方正黑体_GBK" w:cs="Times New Roman"/>
          <w:sz w:val="32"/>
          <w:szCs w:val="32"/>
        </w:rPr>
        <w:t>总  则</w:t>
      </w:r>
    </w:p>
    <w:p>
      <w:pPr>
        <w:spacing w:line="560" w:lineRule="exact"/>
        <w:ind w:firstLine="643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sz w:val="32"/>
          <w:szCs w:val="32"/>
        </w:rPr>
        <w:t>第一条</w:t>
      </w:r>
      <w:r>
        <w:rPr>
          <w:rFonts w:ascii="Times New Roman" w:hAnsi="Times New Roman" w:eastAsia="方正仿宋_GBK" w:cs="Times New Roman"/>
          <w:sz w:val="32"/>
          <w:szCs w:val="32"/>
        </w:rPr>
        <w:t xml:space="preserve"> 为贯彻党和国家的教育方针，促进学生德、智、体、美、劳全面发展，充分调动学生学习的积极性、主动性和创造性，使学生成为有理想、有道德、有文化、有纪律的社会主义建设中和接班人，实现学生教育管理工作的标准化、制度化、科学化和可视化。结合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学</w:t>
      </w:r>
      <w:r>
        <w:rPr>
          <w:rFonts w:ascii="Times New Roman" w:hAnsi="Times New Roman" w:eastAsia="方正仿宋_GBK" w:cs="Times New Roman"/>
          <w:sz w:val="32"/>
          <w:szCs w:val="32"/>
        </w:rPr>
        <w:t>校实际，特制订本办法。</w:t>
      </w:r>
    </w:p>
    <w:p>
      <w:pPr>
        <w:spacing w:line="560" w:lineRule="exact"/>
        <w:ind w:firstLine="643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sz w:val="32"/>
          <w:szCs w:val="32"/>
        </w:rPr>
        <w:t>第二条</w:t>
      </w:r>
      <w:r>
        <w:rPr>
          <w:rFonts w:ascii="Times New Roman" w:hAnsi="Times New Roman" w:eastAsia="方正仿宋_GBK" w:cs="Times New Roman"/>
          <w:sz w:val="32"/>
          <w:szCs w:val="32"/>
        </w:rPr>
        <w:t xml:space="preserve"> 本办法适用于在籍在校的全日制专科学生的综合测评管理。</w:t>
      </w:r>
    </w:p>
    <w:p>
      <w:pPr>
        <w:spacing w:line="560" w:lineRule="exact"/>
        <w:ind w:firstLine="643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sz w:val="32"/>
          <w:szCs w:val="32"/>
        </w:rPr>
        <w:t>第三条</w:t>
      </w:r>
      <w:r>
        <w:rPr>
          <w:rFonts w:ascii="Times New Roman" w:hAnsi="Times New Roman" w:eastAsia="方正仿宋_GBK" w:cs="Times New Roman"/>
          <w:sz w:val="32"/>
          <w:szCs w:val="32"/>
        </w:rPr>
        <w:t xml:space="preserve"> 综合测评结果是评奖、评优及推优入党、就业推荐的主要依据。</w:t>
      </w:r>
    </w:p>
    <w:p>
      <w:pPr>
        <w:spacing w:line="560" w:lineRule="exact"/>
        <w:ind w:firstLine="643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sz w:val="32"/>
          <w:szCs w:val="32"/>
        </w:rPr>
        <w:t>第四条</w:t>
      </w:r>
      <w:r>
        <w:rPr>
          <w:rFonts w:ascii="Times New Roman" w:hAnsi="Times New Roman" w:eastAsia="方正仿宋_GBK" w:cs="Times New Roman"/>
          <w:sz w:val="32"/>
          <w:szCs w:val="32"/>
        </w:rPr>
        <w:t xml:space="preserve"> 综合测评的原则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（一）全面性、指导性、可操作性、可视化原则；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（二）实事求是原则；</w:t>
      </w:r>
    </w:p>
    <w:p>
      <w:pPr>
        <w:tabs>
          <w:tab w:val="left" w:pos="1276"/>
        </w:tabs>
        <w:spacing w:line="560" w:lineRule="exact"/>
        <w:ind w:firstLine="640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（三）公平、公正、公开的原则，即测评的标准、办法、程序及结果全部公开，接受广大师生的监督。</w:t>
      </w:r>
    </w:p>
    <w:p>
      <w:pPr>
        <w:spacing w:line="560" w:lineRule="exact"/>
        <w:ind w:firstLine="643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sz w:val="32"/>
          <w:szCs w:val="32"/>
        </w:rPr>
        <w:t>第五条</w:t>
      </w:r>
      <w:r>
        <w:rPr>
          <w:rFonts w:ascii="Times New Roman" w:hAnsi="Times New Roman" w:eastAsia="方正仿宋_GBK" w:cs="Times New Roman"/>
          <w:sz w:val="32"/>
          <w:szCs w:val="32"/>
        </w:rPr>
        <w:t xml:space="preserve"> 综合测评的内容及分数包括学生的德育测评、素质测评、学习成绩、获奖得分、素质拓展及社会实践得分、违反校纪校规及社会公德扣分六个方面。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综合测评成绩计算公式为：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综合测评成绩总分=德育测评得分+素质测评得分+学习成绩得分+获奖得分+素质拓展及社会实践得分-违反校纪校规及社会公德扣分</w:t>
      </w:r>
    </w:p>
    <w:p>
      <w:pPr>
        <w:spacing w:line="560" w:lineRule="exact"/>
        <w:jc w:val="center"/>
        <w:rPr>
          <w:rFonts w:ascii="Times New Roman" w:hAnsi="Times New Roman" w:eastAsia="方正黑体_GBK" w:cs="Times New Roman"/>
          <w:sz w:val="32"/>
          <w:szCs w:val="32"/>
        </w:rPr>
      </w:pPr>
      <w:r>
        <w:rPr>
          <w:rFonts w:ascii="Times New Roman" w:hAnsi="Times New Roman" w:eastAsia="方正黑体_GBK" w:cs="Times New Roman"/>
          <w:sz w:val="32"/>
          <w:szCs w:val="32"/>
        </w:rPr>
        <w:t xml:space="preserve">第二章 </w:t>
      </w:r>
      <w:r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  <w:t xml:space="preserve"> </w:t>
      </w:r>
      <w:r>
        <w:rPr>
          <w:rFonts w:ascii="Times New Roman" w:hAnsi="Times New Roman" w:eastAsia="方正黑体_GBK" w:cs="Times New Roman"/>
          <w:sz w:val="32"/>
          <w:szCs w:val="32"/>
        </w:rPr>
        <w:t>德育测评</w:t>
      </w:r>
    </w:p>
    <w:p>
      <w:pPr>
        <w:spacing w:line="560" w:lineRule="exact"/>
        <w:ind w:firstLine="643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sz w:val="32"/>
          <w:szCs w:val="32"/>
        </w:rPr>
        <w:t>第六条</w:t>
      </w:r>
      <w:r>
        <w:rPr>
          <w:rFonts w:ascii="Times New Roman" w:hAnsi="Times New Roman" w:eastAsia="方正仿宋_GBK" w:cs="Times New Roman"/>
          <w:sz w:val="32"/>
          <w:szCs w:val="32"/>
        </w:rPr>
        <w:t xml:space="preserve"> 德育测评成绩总分20分，包含政治立场坚定、遵纪守法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ascii="Times New Roman" w:hAnsi="Times New Roman" w:eastAsia="方正仿宋_GBK" w:cs="Times New Roman"/>
          <w:sz w:val="32"/>
          <w:szCs w:val="32"/>
        </w:rPr>
        <w:t>热爱祖国、热爱学校、团结同学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ascii="Times New Roman" w:hAnsi="Times New Roman" w:eastAsia="方正仿宋_GBK" w:cs="Times New Roman"/>
          <w:sz w:val="32"/>
          <w:szCs w:val="32"/>
        </w:rPr>
        <w:t>参与主题教育、青年大学习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ascii="Times New Roman" w:hAnsi="Times New Roman" w:eastAsia="方正仿宋_GBK" w:cs="Times New Roman"/>
          <w:sz w:val="32"/>
          <w:szCs w:val="32"/>
        </w:rPr>
        <w:t>勤俭节约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、</w:t>
      </w:r>
      <w:r>
        <w:rPr>
          <w:rFonts w:ascii="Times New Roman" w:hAnsi="Times New Roman" w:eastAsia="方正仿宋_GBK" w:cs="Times New Roman"/>
          <w:sz w:val="32"/>
          <w:szCs w:val="32"/>
        </w:rPr>
        <w:t>艰苦奋斗四个方面。</w:t>
      </w:r>
    </w:p>
    <w:p>
      <w:pPr>
        <w:spacing w:line="560" w:lineRule="exact"/>
        <w:ind w:firstLine="643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sz w:val="32"/>
          <w:szCs w:val="32"/>
        </w:rPr>
        <w:t>第七条</w:t>
      </w:r>
      <w:r>
        <w:rPr>
          <w:rFonts w:ascii="Times New Roman" w:hAnsi="Times New Roman" w:eastAsia="方正仿宋_GBK" w:cs="Times New Roman"/>
          <w:sz w:val="32"/>
          <w:szCs w:val="32"/>
        </w:rPr>
        <w:t xml:space="preserve"> 德育测评成绩由二级学院对学生测评学期进行评价，根据学生实际表现在规定分值内给予相应得分。</w:t>
      </w:r>
    </w:p>
    <w:p>
      <w:pPr>
        <w:spacing w:line="560" w:lineRule="exact"/>
        <w:jc w:val="center"/>
        <w:rPr>
          <w:rFonts w:ascii="Times New Roman" w:hAnsi="Times New Roman" w:eastAsia="方正黑体_GBK" w:cs="Times New Roman"/>
          <w:sz w:val="32"/>
          <w:szCs w:val="32"/>
        </w:rPr>
      </w:pPr>
      <w:r>
        <w:rPr>
          <w:rFonts w:ascii="Times New Roman" w:hAnsi="Times New Roman" w:eastAsia="方正黑体_GBK" w:cs="Times New Roman"/>
          <w:sz w:val="32"/>
          <w:szCs w:val="32"/>
        </w:rPr>
        <w:t xml:space="preserve">第三章 </w:t>
      </w:r>
      <w:r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  <w:t xml:space="preserve"> </w:t>
      </w:r>
      <w:r>
        <w:rPr>
          <w:rFonts w:ascii="Times New Roman" w:hAnsi="Times New Roman" w:eastAsia="方正黑体_GBK" w:cs="Times New Roman"/>
          <w:sz w:val="32"/>
          <w:szCs w:val="32"/>
        </w:rPr>
        <w:t>素质测评</w:t>
      </w:r>
    </w:p>
    <w:p>
      <w:pPr>
        <w:spacing w:line="560" w:lineRule="exact"/>
        <w:ind w:firstLine="643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sz w:val="32"/>
          <w:szCs w:val="32"/>
        </w:rPr>
        <w:t>第八条</w:t>
      </w:r>
      <w:r>
        <w:rPr>
          <w:rFonts w:ascii="Times New Roman" w:hAnsi="Times New Roman" w:eastAsia="方正仿宋_GBK" w:cs="Times New Roman"/>
          <w:sz w:val="32"/>
          <w:szCs w:val="32"/>
        </w:rPr>
        <w:t xml:space="preserve"> 素质测评成绩总分40分，包含参加校内各类社团、班团、社区活动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ascii="Times New Roman" w:hAnsi="Times New Roman" w:eastAsia="方正仿宋_GBK" w:cs="Times New Roman"/>
          <w:kern w:val="0"/>
          <w:sz w:val="32"/>
          <w:szCs w:val="32"/>
        </w:rPr>
        <w:t>参与职业技能类、创新创业类活动</w:t>
      </w:r>
      <w:r>
        <w:rPr>
          <w:rFonts w:hint="eastAsia" w:ascii="Times New Roman" w:hAnsi="Times New Roman" w:eastAsia="方正仿宋_GBK" w:cs="Times New Roman"/>
          <w:kern w:val="0"/>
          <w:sz w:val="32"/>
          <w:szCs w:val="32"/>
          <w:lang w:eastAsia="zh-CN"/>
        </w:rPr>
        <w:t>，</w:t>
      </w:r>
      <w:r>
        <w:rPr>
          <w:rFonts w:ascii="Times New Roman" w:hAnsi="Times New Roman" w:eastAsia="方正仿宋_GBK" w:cs="Times New Roman"/>
          <w:kern w:val="0"/>
          <w:sz w:val="32"/>
          <w:szCs w:val="32"/>
        </w:rPr>
        <w:t>参加各级各类文体活动</w:t>
      </w:r>
      <w:r>
        <w:rPr>
          <w:rFonts w:hint="eastAsia" w:ascii="Times New Roman" w:hAnsi="Times New Roman" w:eastAsia="方正仿宋_GBK" w:cs="Times New Roman"/>
          <w:kern w:val="0"/>
          <w:sz w:val="32"/>
          <w:szCs w:val="32"/>
          <w:lang w:eastAsia="zh-CN"/>
        </w:rPr>
        <w:t>，</w:t>
      </w:r>
      <w:r>
        <w:rPr>
          <w:rFonts w:ascii="Times New Roman" w:hAnsi="Times New Roman" w:eastAsia="方正仿宋_GBK" w:cs="Times New Roman"/>
          <w:kern w:val="0"/>
          <w:sz w:val="32"/>
          <w:szCs w:val="32"/>
        </w:rPr>
        <w:t>参加各级各类心理活动</w:t>
      </w:r>
      <w:r>
        <w:rPr>
          <w:rFonts w:hint="eastAsia" w:ascii="Times New Roman" w:hAnsi="Times New Roman" w:eastAsia="方正仿宋_GBK" w:cs="Times New Roman"/>
          <w:kern w:val="0"/>
          <w:sz w:val="32"/>
          <w:szCs w:val="32"/>
          <w:lang w:eastAsia="zh-CN"/>
        </w:rPr>
        <w:t>，</w:t>
      </w:r>
      <w:r>
        <w:rPr>
          <w:rFonts w:ascii="Times New Roman" w:hAnsi="Times New Roman" w:eastAsia="方正仿宋_GBK" w:cs="Times New Roman"/>
          <w:kern w:val="0"/>
          <w:sz w:val="32"/>
          <w:szCs w:val="32"/>
        </w:rPr>
        <w:t>参加劳动类活动</w:t>
      </w:r>
      <w:r>
        <w:rPr>
          <w:rFonts w:hint="eastAsia" w:ascii="Times New Roman" w:hAnsi="Times New Roman" w:eastAsia="方正仿宋_GBK" w:cs="Times New Roman"/>
          <w:kern w:val="0"/>
          <w:sz w:val="32"/>
          <w:szCs w:val="32"/>
          <w:lang w:eastAsia="zh-CN"/>
        </w:rPr>
        <w:t>，</w:t>
      </w:r>
      <w:r>
        <w:rPr>
          <w:rFonts w:ascii="Times New Roman" w:hAnsi="Times New Roman" w:eastAsia="方正仿宋_GBK" w:cs="Times New Roman"/>
          <w:kern w:val="0"/>
          <w:sz w:val="32"/>
          <w:szCs w:val="32"/>
        </w:rPr>
        <w:t>志愿服务类活动</w:t>
      </w:r>
      <w:r>
        <w:rPr>
          <w:rFonts w:hint="eastAsia" w:ascii="Times New Roman" w:hAnsi="Times New Roman" w:eastAsia="方正仿宋_GBK" w:cs="Times New Roman"/>
          <w:kern w:val="0"/>
          <w:sz w:val="32"/>
          <w:szCs w:val="32"/>
          <w:lang w:eastAsia="zh-CN"/>
        </w:rPr>
        <w:t>等</w:t>
      </w:r>
      <w:r>
        <w:rPr>
          <w:rFonts w:ascii="Times New Roman" w:hAnsi="Times New Roman" w:eastAsia="方正仿宋_GBK" w:cs="Times New Roman"/>
          <w:sz w:val="32"/>
          <w:szCs w:val="32"/>
        </w:rPr>
        <w:t>。</w:t>
      </w:r>
    </w:p>
    <w:p>
      <w:pPr>
        <w:spacing w:line="560" w:lineRule="exact"/>
        <w:ind w:firstLine="643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sz w:val="32"/>
          <w:szCs w:val="32"/>
        </w:rPr>
        <w:t>第九条</w:t>
      </w:r>
      <w:r>
        <w:rPr>
          <w:rFonts w:ascii="Times New Roman" w:hAnsi="Times New Roman" w:eastAsia="方正仿宋_GBK" w:cs="Times New Roman"/>
          <w:sz w:val="32"/>
          <w:szCs w:val="32"/>
        </w:rPr>
        <w:t xml:space="preserve"> 素质测评成绩由党委学生工作部（学生处）、校团委、二级学院对学生测评学期进行评价，根据学生实际表现在规定分值内给予相应得分。</w:t>
      </w:r>
    </w:p>
    <w:p>
      <w:pPr>
        <w:spacing w:line="560" w:lineRule="exact"/>
        <w:jc w:val="center"/>
        <w:rPr>
          <w:rFonts w:ascii="Times New Roman" w:hAnsi="Times New Roman" w:eastAsia="方正黑体_GBK" w:cs="Times New Roman"/>
          <w:sz w:val="32"/>
          <w:szCs w:val="32"/>
        </w:rPr>
      </w:pPr>
      <w:r>
        <w:rPr>
          <w:rFonts w:ascii="Times New Roman" w:hAnsi="Times New Roman" w:eastAsia="方正黑体_GBK" w:cs="Times New Roman"/>
          <w:sz w:val="32"/>
          <w:szCs w:val="32"/>
        </w:rPr>
        <w:t xml:space="preserve">第四章 </w:t>
      </w:r>
      <w:r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  <w:t xml:space="preserve"> </w:t>
      </w:r>
      <w:r>
        <w:rPr>
          <w:rFonts w:ascii="Times New Roman" w:hAnsi="Times New Roman" w:eastAsia="方正黑体_GBK" w:cs="Times New Roman"/>
          <w:sz w:val="32"/>
          <w:szCs w:val="32"/>
        </w:rPr>
        <w:t>学习成绩</w:t>
      </w:r>
    </w:p>
    <w:p>
      <w:pPr>
        <w:spacing w:line="560" w:lineRule="exact"/>
        <w:ind w:firstLine="643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sz w:val="32"/>
          <w:szCs w:val="32"/>
        </w:rPr>
        <w:t>第十条</w:t>
      </w:r>
      <w:r>
        <w:rPr>
          <w:rFonts w:ascii="Times New Roman" w:hAnsi="Times New Roman" w:eastAsia="方正仿宋_GBK" w:cs="Times New Roman"/>
          <w:sz w:val="32"/>
          <w:szCs w:val="32"/>
        </w:rPr>
        <w:t xml:space="preserve"> 学习成绩的范围为各专业教学计划之内的必修课程成绩。</w:t>
      </w:r>
    </w:p>
    <w:p>
      <w:pPr>
        <w:spacing w:line="560" w:lineRule="exact"/>
        <w:ind w:firstLine="643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sz w:val="32"/>
          <w:szCs w:val="32"/>
        </w:rPr>
        <w:t>第十一条</w:t>
      </w:r>
      <w:r>
        <w:rPr>
          <w:rFonts w:ascii="Times New Roman" w:hAnsi="Times New Roman" w:eastAsia="方正仿宋_GBK" w:cs="Times New Roman"/>
          <w:sz w:val="32"/>
          <w:szCs w:val="32"/>
        </w:rPr>
        <w:t xml:space="preserve"> 学习成绩得分的计算公式为：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学习成绩得分＝综合测评学期必修课平均分×40%。</w:t>
      </w:r>
    </w:p>
    <w:p>
      <w:pPr>
        <w:spacing w:line="560" w:lineRule="exact"/>
        <w:jc w:val="center"/>
        <w:rPr>
          <w:rFonts w:ascii="Times New Roman" w:hAnsi="Times New Roman" w:eastAsia="方正黑体_GBK" w:cs="Times New Roman"/>
          <w:sz w:val="32"/>
          <w:szCs w:val="32"/>
        </w:rPr>
      </w:pPr>
      <w:r>
        <w:rPr>
          <w:rFonts w:ascii="Times New Roman" w:hAnsi="Times New Roman" w:eastAsia="方正黑体_GBK" w:cs="Times New Roman"/>
          <w:sz w:val="32"/>
          <w:szCs w:val="32"/>
        </w:rPr>
        <w:t xml:space="preserve">第五章 </w:t>
      </w:r>
      <w:r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  <w:t xml:space="preserve"> </w:t>
      </w:r>
      <w:r>
        <w:rPr>
          <w:rFonts w:ascii="Times New Roman" w:hAnsi="Times New Roman" w:eastAsia="方正黑体_GBK" w:cs="Times New Roman"/>
          <w:sz w:val="32"/>
          <w:szCs w:val="32"/>
        </w:rPr>
        <w:t>获奖加分</w:t>
      </w:r>
    </w:p>
    <w:p>
      <w:pPr>
        <w:spacing w:line="560" w:lineRule="exact"/>
        <w:ind w:firstLine="643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sz w:val="32"/>
          <w:szCs w:val="32"/>
        </w:rPr>
        <w:t>第十二条</w:t>
      </w:r>
      <w:r>
        <w:rPr>
          <w:rFonts w:ascii="Times New Roman" w:hAnsi="Times New Roman" w:eastAsia="方正仿宋_GBK" w:cs="Times New Roman"/>
          <w:sz w:val="32"/>
          <w:szCs w:val="32"/>
        </w:rPr>
        <w:t xml:space="preserve"> 被评为先进的个人或集体成员，国家级加10分、市级加5分、区级加4分、校级加3分。</w:t>
      </w:r>
    </w:p>
    <w:p>
      <w:pPr>
        <w:spacing w:line="560" w:lineRule="exact"/>
        <w:ind w:firstLine="643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sz w:val="32"/>
          <w:szCs w:val="32"/>
        </w:rPr>
        <w:t>第十三条</w:t>
      </w:r>
      <w:r>
        <w:rPr>
          <w:rFonts w:ascii="Times New Roman" w:hAnsi="Times New Roman" w:eastAsia="方正仿宋_GBK" w:cs="Times New Roman"/>
          <w:sz w:val="32"/>
          <w:szCs w:val="32"/>
        </w:rPr>
        <w:t xml:space="preserve"> 在各类竞赛中获奖的个人或团体成员，可按以下分值进行加分：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（一）获得国家级：一等奖加10分，二等奖加8分，三等奖加6分，优秀奖加5分；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（二）获得市级：一等奖加5分，二等奖加4分，三等奖加3分，优秀奖加2分；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（三）获得校（区）级：一等奖加3分，二等奖加2分，三等奖加1分。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（四）获得院级：一等奖加1分，二等奖加0.5分，三等奖加0.3分。</w:t>
      </w:r>
    </w:p>
    <w:p>
      <w:pPr>
        <w:spacing w:line="560" w:lineRule="exact"/>
        <w:ind w:firstLine="643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sz w:val="32"/>
          <w:szCs w:val="32"/>
        </w:rPr>
        <w:t>第十四条</w:t>
      </w:r>
      <w:r>
        <w:rPr>
          <w:rFonts w:ascii="Times New Roman" w:hAnsi="Times New Roman" w:eastAsia="方正仿宋_GBK" w:cs="Times New Roman"/>
          <w:sz w:val="32"/>
          <w:szCs w:val="32"/>
        </w:rPr>
        <w:t xml:space="preserve"> 同一荣誉（赛项）不同级别按最高级别得分，不同荣誉（赛项）可累计加分，获奖得分为区间分值，由二级学院核定学生在团队中的贡献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值</w:t>
      </w:r>
      <w:r>
        <w:rPr>
          <w:rFonts w:ascii="Times New Roman" w:hAnsi="Times New Roman" w:eastAsia="方正仿宋_GBK" w:cs="Times New Roman"/>
          <w:sz w:val="32"/>
          <w:szCs w:val="32"/>
        </w:rPr>
        <w:t>和赛项等级赋分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ascii="Times New Roman" w:hAnsi="Times New Roman" w:eastAsia="方正仿宋_GBK" w:cs="Times New Roman"/>
          <w:sz w:val="32"/>
          <w:szCs w:val="32"/>
        </w:rPr>
        <w:t>只在获奖学期测评中加分。获得奖学金、助学金不加分。</w:t>
      </w:r>
    </w:p>
    <w:p>
      <w:pPr>
        <w:spacing w:line="560" w:lineRule="exact"/>
        <w:jc w:val="center"/>
        <w:rPr>
          <w:rFonts w:ascii="Times New Roman" w:hAnsi="Times New Roman" w:eastAsia="方正黑体_GBK" w:cs="Times New Roman"/>
          <w:sz w:val="32"/>
          <w:szCs w:val="32"/>
        </w:rPr>
      </w:pPr>
      <w:r>
        <w:rPr>
          <w:rFonts w:ascii="Times New Roman" w:hAnsi="Times New Roman" w:eastAsia="方正黑体_GBK" w:cs="Times New Roman"/>
          <w:sz w:val="32"/>
          <w:szCs w:val="32"/>
        </w:rPr>
        <w:t xml:space="preserve">第六章 </w:t>
      </w:r>
      <w:r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  <w:t xml:space="preserve"> </w:t>
      </w:r>
      <w:r>
        <w:rPr>
          <w:rFonts w:ascii="Times New Roman" w:hAnsi="Times New Roman" w:eastAsia="方正黑体_GBK" w:cs="Times New Roman"/>
          <w:sz w:val="32"/>
          <w:szCs w:val="32"/>
        </w:rPr>
        <w:t>素质拓展社会实践加分</w:t>
      </w:r>
    </w:p>
    <w:p>
      <w:pPr>
        <w:spacing w:line="560" w:lineRule="exact"/>
        <w:ind w:firstLine="643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sz w:val="32"/>
          <w:szCs w:val="32"/>
        </w:rPr>
        <w:t>第十五条</w:t>
      </w:r>
      <w:r>
        <w:rPr>
          <w:rFonts w:ascii="Times New Roman" w:hAnsi="Times New Roman" w:eastAsia="方正仿宋_GBK" w:cs="Times New Roman"/>
          <w:sz w:val="32"/>
          <w:szCs w:val="32"/>
        </w:rPr>
        <w:t xml:space="preserve"> 素质拓展社会实践成绩可根据以下情况进行加分：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（一）担任校学生会、校团委、社团干部或干事、社区自律委员会成员分值区间为0-5分；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（二）担任二级学院学生会、团总支干部或干事分值区间为0-4分；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（三）担任班干部、团支部委员、寝室长分值区间为0-3分；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（四）经学校认定的精品社团国家级10分、市级5分、校级2分；</w:t>
      </w:r>
    </w:p>
    <w:p>
      <w:pPr>
        <w:spacing w:line="560" w:lineRule="exact"/>
        <w:ind w:firstLine="643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sz w:val="32"/>
          <w:szCs w:val="32"/>
        </w:rPr>
        <w:t>第十六条</w:t>
      </w:r>
      <w:r>
        <w:rPr>
          <w:rFonts w:ascii="Times New Roman" w:hAnsi="Times New Roman" w:eastAsia="方正仿宋_GBK" w:cs="Times New Roman"/>
          <w:sz w:val="32"/>
          <w:szCs w:val="32"/>
        </w:rPr>
        <w:t xml:space="preserve"> 党委学生工作部（学生处）、校团委、二级学院根据学生实际情况在规定分值内给予相应得分。</w:t>
      </w:r>
    </w:p>
    <w:p>
      <w:pPr>
        <w:spacing w:line="560" w:lineRule="exact"/>
        <w:ind w:firstLine="643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sz w:val="32"/>
          <w:szCs w:val="32"/>
        </w:rPr>
        <w:t>第十七条</w:t>
      </w:r>
      <w:r>
        <w:rPr>
          <w:rFonts w:ascii="Times New Roman" w:hAnsi="Times New Roman" w:eastAsia="方正仿宋_GBK" w:cs="Times New Roman"/>
          <w:sz w:val="32"/>
          <w:szCs w:val="32"/>
        </w:rPr>
        <w:t xml:space="preserve"> 同一学生不同级别的任职可累计加分。</w:t>
      </w:r>
    </w:p>
    <w:p>
      <w:pPr>
        <w:spacing w:line="560" w:lineRule="exact"/>
        <w:jc w:val="center"/>
        <w:rPr>
          <w:rFonts w:ascii="Times New Roman" w:hAnsi="Times New Roman" w:eastAsia="方正黑体_GBK" w:cs="Times New Roman"/>
          <w:sz w:val="32"/>
          <w:szCs w:val="32"/>
        </w:rPr>
      </w:pPr>
      <w:r>
        <w:rPr>
          <w:rFonts w:ascii="Times New Roman" w:hAnsi="Times New Roman" w:eastAsia="方正黑体_GBK" w:cs="Times New Roman"/>
          <w:sz w:val="32"/>
          <w:szCs w:val="32"/>
        </w:rPr>
        <w:t xml:space="preserve">第七章 </w:t>
      </w:r>
      <w:r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  <w:t xml:space="preserve"> </w:t>
      </w:r>
      <w:r>
        <w:rPr>
          <w:rFonts w:ascii="Times New Roman" w:hAnsi="Times New Roman" w:eastAsia="方正黑体_GBK" w:cs="Times New Roman"/>
          <w:sz w:val="32"/>
          <w:szCs w:val="32"/>
        </w:rPr>
        <w:t>违反校纪校规及社会公德扣分</w:t>
      </w:r>
    </w:p>
    <w:p>
      <w:pPr>
        <w:spacing w:line="560" w:lineRule="exact"/>
        <w:ind w:firstLine="645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sz w:val="32"/>
          <w:szCs w:val="32"/>
        </w:rPr>
        <w:t>第十八条</w:t>
      </w:r>
      <w:r>
        <w:rPr>
          <w:rFonts w:ascii="Times New Roman" w:hAnsi="Times New Roman" w:eastAsia="方正仿宋_GBK" w:cs="Times New Roman"/>
          <w:sz w:val="32"/>
          <w:szCs w:val="32"/>
        </w:rPr>
        <w:t xml:space="preserve"> 学生在测评学期如有违反校纪校规及社会公德情况，按以下分值扣分：</w:t>
      </w:r>
    </w:p>
    <w:p>
      <w:pPr>
        <w:spacing w:line="560" w:lineRule="exact"/>
        <w:ind w:firstLine="645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（一）迟到、早退、晚归，每次0.5分；</w:t>
      </w:r>
    </w:p>
    <w:p>
      <w:pPr>
        <w:spacing w:line="560" w:lineRule="exact"/>
        <w:ind w:firstLine="645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（二）旷课、夜不归寝，每次1分；</w:t>
      </w:r>
    </w:p>
    <w:p>
      <w:pPr>
        <w:spacing w:line="560" w:lineRule="exact"/>
        <w:ind w:firstLine="645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（三）无故退出集体活动、社会实践活动，每次1分；</w:t>
      </w:r>
    </w:p>
    <w:p>
      <w:pPr>
        <w:spacing w:line="560" w:lineRule="exact"/>
        <w:ind w:firstLine="645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（四）通报批评，每次2分；</w:t>
      </w:r>
    </w:p>
    <w:p>
      <w:pPr>
        <w:spacing w:line="560" w:lineRule="exact"/>
        <w:ind w:firstLine="645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（五）受到警告、严重警告、记过、留校察看处分，分别按照每次4分、5分、7分、10分进行扣分。</w:t>
      </w:r>
    </w:p>
    <w:p>
      <w:pPr>
        <w:spacing w:line="560" w:lineRule="exact"/>
        <w:ind w:firstLine="645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sz w:val="32"/>
          <w:szCs w:val="32"/>
        </w:rPr>
        <w:t>第十九条</w:t>
      </w:r>
      <w:r>
        <w:rPr>
          <w:rFonts w:ascii="Times New Roman" w:hAnsi="Times New Roman" w:eastAsia="方正仿宋_GBK" w:cs="Times New Roman"/>
          <w:sz w:val="32"/>
          <w:szCs w:val="32"/>
        </w:rPr>
        <w:t xml:space="preserve"> 晚归、夜不归寝情况以党委学生工作部（学生处）和二级学院提供的数据为准。</w:t>
      </w:r>
    </w:p>
    <w:p>
      <w:pPr>
        <w:spacing w:line="560" w:lineRule="exact"/>
        <w:ind w:firstLine="645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sz w:val="32"/>
          <w:szCs w:val="32"/>
        </w:rPr>
        <w:t>第二十条</w:t>
      </w:r>
      <w:r>
        <w:rPr>
          <w:rFonts w:ascii="Times New Roman" w:hAnsi="Times New Roman" w:eastAsia="方正仿宋_GBK" w:cs="Times New Roman"/>
          <w:sz w:val="32"/>
          <w:szCs w:val="32"/>
        </w:rPr>
        <w:t xml:space="preserve"> 迟到、早退情况以辅导员和任课教师提供的数据为准。</w:t>
      </w:r>
    </w:p>
    <w:p>
      <w:pPr>
        <w:spacing w:line="560" w:lineRule="exact"/>
        <w:ind w:firstLine="645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sz w:val="32"/>
          <w:szCs w:val="32"/>
        </w:rPr>
        <w:t>第二十一条</w:t>
      </w:r>
      <w:r>
        <w:rPr>
          <w:rFonts w:ascii="Times New Roman" w:hAnsi="Times New Roman" w:eastAsia="方正仿宋_GBK" w:cs="Times New Roman"/>
          <w:sz w:val="32"/>
          <w:szCs w:val="32"/>
        </w:rPr>
        <w:t xml:space="preserve"> 所有扣分项均累计计算。</w:t>
      </w:r>
    </w:p>
    <w:p>
      <w:pPr>
        <w:spacing w:line="560" w:lineRule="exact"/>
        <w:jc w:val="center"/>
        <w:rPr>
          <w:rFonts w:ascii="Times New Roman" w:hAnsi="Times New Roman" w:eastAsia="方正黑体_GBK" w:cs="Times New Roman"/>
          <w:sz w:val="32"/>
          <w:szCs w:val="32"/>
        </w:rPr>
      </w:pPr>
      <w:r>
        <w:rPr>
          <w:rFonts w:ascii="Times New Roman" w:hAnsi="Times New Roman" w:eastAsia="方正黑体_GBK" w:cs="Times New Roman"/>
          <w:sz w:val="32"/>
          <w:szCs w:val="32"/>
        </w:rPr>
        <w:t xml:space="preserve">第八章 </w:t>
      </w:r>
      <w:r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  <w:t xml:space="preserve"> </w:t>
      </w:r>
      <w:r>
        <w:rPr>
          <w:rFonts w:ascii="Times New Roman" w:hAnsi="Times New Roman" w:eastAsia="方正黑体_GBK" w:cs="Times New Roman"/>
          <w:sz w:val="32"/>
          <w:szCs w:val="32"/>
        </w:rPr>
        <w:t>综合测评的实施</w:t>
      </w:r>
    </w:p>
    <w:p>
      <w:pPr>
        <w:spacing w:line="560" w:lineRule="exact"/>
        <w:ind w:firstLine="643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sz w:val="32"/>
          <w:szCs w:val="32"/>
        </w:rPr>
        <w:t xml:space="preserve">第二十二条 </w:t>
      </w:r>
      <w:r>
        <w:rPr>
          <w:rFonts w:ascii="Times New Roman" w:hAnsi="Times New Roman" w:eastAsia="方正仿宋_GBK" w:cs="Times New Roman"/>
          <w:sz w:val="32"/>
          <w:szCs w:val="32"/>
        </w:rPr>
        <w:t>学生综合测评每学期进行一次，在每学期第三周前内完成学生上一学期的综合测评工作，大三学生只进行第五学期的测评。</w:t>
      </w:r>
    </w:p>
    <w:p>
      <w:pPr>
        <w:spacing w:line="560" w:lineRule="exact"/>
        <w:ind w:firstLine="643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sz w:val="32"/>
          <w:szCs w:val="32"/>
        </w:rPr>
        <w:t>第二十三条</w:t>
      </w:r>
      <w:r>
        <w:rPr>
          <w:rFonts w:ascii="Times New Roman" w:hAnsi="Times New Roman" w:eastAsia="方正仿宋_GBK" w:cs="Times New Roman"/>
          <w:sz w:val="32"/>
          <w:szCs w:val="32"/>
        </w:rPr>
        <w:t xml:space="preserve"> 综合测评的组织机构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ascii="Times New Roman" w:hAnsi="Times New Roman" w:eastAsia="方正仿宋_GBK" w:cs="Times New Roman"/>
          <w:sz w:val="32"/>
          <w:szCs w:val="32"/>
        </w:rPr>
        <w:t>一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ascii="Times New Roman" w:hAnsi="Times New Roman" w:eastAsia="方正仿宋_GBK" w:cs="Times New Roman"/>
          <w:sz w:val="32"/>
          <w:szCs w:val="32"/>
        </w:rPr>
        <w:t>学校成立学生综合测评委员会，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由</w:t>
      </w:r>
      <w:r>
        <w:rPr>
          <w:rFonts w:ascii="Times New Roman" w:hAnsi="Times New Roman" w:eastAsia="方正仿宋_GBK" w:cs="Times New Roman"/>
          <w:sz w:val="32"/>
          <w:szCs w:val="32"/>
        </w:rPr>
        <w:t>分管校领导担任主任，党委学生工作部（学生处）、校团委、教务处（质量管理中心）、各二级学院分管学生工作负责人任委员，负责全校学生综合测评的指导工作。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ascii="Times New Roman" w:hAnsi="Times New Roman" w:eastAsia="方正仿宋_GBK" w:cs="Times New Roman"/>
          <w:sz w:val="32"/>
          <w:szCs w:val="32"/>
        </w:rPr>
        <w:t>二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ascii="Times New Roman" w:hAnsi="Times New Roman" w:eastAsia="方正仿宋_GBK" w:cs="Times New Roman"/>
          <w:sz w:val="32"/>
          <w:szCs w:val="32"/>
        </w:rPr>
        <w:t>各二级学院成立学生综合测评工作小组，工作小组由各二级学院分管学生工作负责人、团总支书记和副书记、辅导员以及各二级学院学生会主席团组成。</w:t>
      </w:r>
    </w:p>
    <w:p>
      <w:pPr>
        <w:spacing w:line="560" w:lineRule="exact"/>
        <w:ind w:firstLine="643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sz w:val="32"/>
          <w:szCs w:val="32"/>
        </w:rPr>
        <w:t>第二十四条</w:t>
      </w:r>
      <w:r>
        <w:rPr>
          <w:rFonts w:ascii="Times New Roman" w:hAnsi="Times New Roman" w:eastAsia="方正仿宋_GBK" w:cs="Times New Roman"/>
          <w:sz w:val="32"/>
          <w:szCs w:val="32"/>
        </w:rPr>
        <w:t xml:space="preserve"> 各二级学院须根据学校对学生综合测评主要内容的规定，结合本学院具体情况，制定学生综合测评的实施细则，并报党委学生工作部（学生处）备案。</w:t>
      </w:r>
    </w:p>
    <w:p>
      <w:pPr>
        <w:spacing w:line="560" w:lineRule="exact"/>
        <w:jc w:val="center"/>
        <w:rPr>
          <w:rFonts w:ascii="Times New Roman" w:hAnsi="Times New Roman" w:eastAsia="方正黑体_GBK" w:cs="Times New Roman"/>
          <w:sz w:val="32"/>
          <w:szCs w:val="32"/>
        </w:rPr>
      </w:pPr>
      <w:r>
        <w:rPr>
          <w:rFonts w:ascii="Times New Roman" w:hAnsi="Times New Roman" w:eastAsia="方正黑体_GBK" w:cs="Times New Roman"/>
          <w:sz w:val="32"/>
          <w:szCs w:val="32"/>
        </w:rPr>
        <w:t xml:space="preserve">第九章 </w:t>
      </w:r>
      <w:r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  <w:t xml:space="preserve"> </w:t>
      </w:r>
      <w:r>
        <w:rPr>
          <w:rFonts w:ascii="Times New Roman" w:hAnsi="Times New Roman" w:eastAsia="方正黑体_GBK" w:cs="Times New Roman"/>
          <w:sz w:val="32"/>
          <w:szCs w:val="32"/>
        </w:rPr>
        <w:t>附</w:t>
      </w:r>
      <w:r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  <w:t xml:space="preserve">  </w:t>
      </w:r>
      <w:r>
        <w:rPr>
          <w:rFonts w:ascii="Times New Roman" w:hAnsi="Times New Roman" w:eastAsia="方正黑体_GBK" w:cs="Times New Roman"/>
          <w:sz w:val="32"/>
          <w:szCs w:val="32"/>
        </w:rPr>
        <w:t>则</w:t>
      </w:r>
    </w:p>
    <w:p>
      <w:pPr>
        <w:spacing w:line="560" w:lineRule="exact"/>
        <w:ind w:firstLine="643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sz w:val="32"/>
          <w:szCs w:val="32"/>
        </w:rPr>
        <w:t>第二十五条</w:t>
      </w:r>
      <w:r>
        <w:rPr>
          <w:rFonts w:ascii="Times New Roman" w:hAnsi="Times New Roman" w:eastAsia="方正仿宋_GBK" w:cs="Times New Roman"/>
          <w:sz w:val="32"/>
          <w:szCs w:val="32"/>
        </w:rPr>
        <w:t xml:space="preserve"> 学校授权党委学生工作部（学生处）解释本管理办法。</w:t>
      </w:r>
    </w:p>
    <w:p>
      <w:pPr>
        <w:spacing w:line="560" w:lineRule="exact"/>
        <w:ind w:firstLine="643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sz w:val="32"/>
          <w:szCs w:val="32"/>
        </w:rPr>
        <w:t>第二十六条</w:t>
      </w:r>
      <w:r>
        <w:rPr>
          <w:rFonts w:ascii="Times New Roman" w:hAnsi="Times New Roman" w:eastAsia="方正仿宋_GBK" w:cs="Times New Roman"/>
          <w:sz w:val="32"/>
          <w:szCs w:val="32"/>
        </w:rPr>
        <w:t xml:space="preserve"> 本办法自2024年9月1日起实施，原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2022年7月9日印发的</w:t>
      </w:r>
      <w:r>
        <w:rPr>
          <w:rFonts w:ascii="Times New Roman" w:hAnsi="Times New Roman" w:eastAsia="方正仿宋_GBK" w:cs="Times New Roman"/>
          <w:sz w:val="32"/>
          <w:szCs w:val="32"/>
        </w:rPr>
        <w:t>《重庆城市职业学院学生综合测评管理办法》（渝城职院学〔2022〕11号）同时废止。</w:t>
      </w:r>
    </w:p>
    <w:tbl>
      <w:tblPr>
        <w:tblStyle w:val="7"/>
        <w:tblpPr w:leftFromText="180" w:rightFromText="180" w:vertAnchor="text" w:horzAnchor="page" w:tblpX="1560" w:tblpY="1615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9004" w:type="dxa"/>
            <w:tcBorders>
              <w:left w:val="nil"/>
              <w:right w:val="nil"/>
            </w:tcBorders>
          </w:tcPr>
          <w:p>
            <w:pPr>
              <w:spacing w:line="520" w:lineRule="exact"/>
              <w:ind w:firstLine="140" w:firstLineChars="50"/>
              <w:rPr>
                <w:rFonts w:eastAsia="方正仿宋_GBK"/>
                <w:color w:val="000000" w:themeColor="text1"/>
                <w:sz w:val="28"/>
                <w:szCs w:val="28"/>
              </w:rPr>
            </w:pPr>
            <w:r>
              <w:rPr>
                <w:rFonts w:eastAsia="方正仿宋_GBK"/>
                <w:color w:val="000000" w:themeColor="text1"/>
                <w:sz w:val="28"/>
                <w:szCs w:val="28"/>
              </w:rPr>
              <w:t>重庆城市职业学院党政</w:t>
            </w:r>
            <w:r>
              <w:rPr>
                <w:rFonts w:hint="eastAsia" w:eastAsia="方正仿宋_GBK"/>
                <w:color w:val="000000" w:themeColor="text1"/>
                <w:sz w:val="28"/>
                <w:szCs w:val="28"/>
              </w:rPr>
              <w:t>办公室</w:t>
            </w:r>
            <w:r>
              <w:rPr>
                <w:rFonts w:eastAsia="方正仿宋_GBK"/>
                <w:color w:val="000000" w:themeColor="text1"/>
                <w:sz w:val="28"/>
                <w:szCs w:val="28"/>
              </w:rPr>
              <w:t xml:space="preserve">           </w:t>
            </w:r>
            <w:r>
              <w:rPr>
                <w:rFonts w:hint="eastAsia" w:eastAsia="方正仿宋_GBK"/>
                <w:color w:val="000000" w:themeColor="text1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eastAsia="方正仿宋_GBK"/>
                <w:color w:val="000000" w:themeColor="text1"/>
                <w:sz w:val="28"/>
                <w:szCs w:val="28"/>
              </w:rPr>
              <w:t xml:space="preserve">   </w:t>
            </w:r>
            <w:r>
              <w:rPr>
                <w:rFonts w:hint="eastAsia" w:ascii="Times New Roman" w:hAnsi="Times New Roman" w:eastAsia="方正仿宋_GBK"/>
                <w:color w:val="000000" w:themeColor="text1"/>
                <w:sz w:val="28"/>
                <w:szCs w:val="28"/>
              </w:rPr>
              <w:t>2</w:t>
            </w:r>
            <w:r>
              <w:rPr>
                <w:rFonts w:hint="default" w:ascii="Times New Roman" w:hAnsi="Times New Roman" w:eastAsia="方正仿宋_GBK" w:cs="Times New Roman"/>
                <w:color w:val="000000" w:themeColor="text1"/>
                <w:sz w:val="28"/>
                <w:szCs w:val="28"/>
              </w:rPr>
              <w:t>02</w:t>
            </w:r>
            <w:r>
              <w:rPr>
                <w:rFonts w:hint="default" w:ascii="Times New Roman" w:hAnsi="Times New Roman" w:eastAsia="方正仿宋_GBK" w:cs="Times New Roman"/>
                <w:color w:val="000000" w:themeColor="text1"/>
                <w:sz w:val="28"/>
                <w:szCs w:val="28"/>
                <w:lang w:val="en-US" w:eastAsia="zh-CN"/>
              </w:rPr>
              <w:t>4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</w:rPr>
              <w:t>年</w:t>
            </w:r>
            <w:r>
              <w:rPr>
                <w:rFonts w:hint="default" w:ascii="Times New Roman" w:hAnsi="Times New Roman" w:eastAsia="方正仿宋_GBK" w:cs="Times New Roman"/>
                <w:color w:val="000000" w:themeColor="text1"/>
                <w:sz w:val="28"/>
                <w:szCs w:val="28"/>
                <w:lang w:val="en-US" w:eastAsia="zh-CN"/>
              </w:rPr>
              <w:t>6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</w:rPr>
              <w:t>月</w:t>
            </w:r>
            <w:r>
              <w:rPr>
                <w:rFonts w:hint="default" w:ascii="Times New Roman" w:hAnsi="Times New Roman" w:eastAsia="方正仿宋_GBK" w:cs="Times New Roman"/>
                <w:color w:val="000000" w:themeColor="text1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方正仿宋_GBK" w:cs="Times New Roman"/>
                <w:color w:val="000000" w:themeColor="text1"/>
                <w:sz w:val="28"/>
                <w:szCs w:val="28"/>
                <w:lang w:val="en-US" w:eastAsia="zh-CN"/>
              </w:rPr>
              <w:t>6</w:t>
            </w:r>
            <w:r>
              <w:rPr>
                <w:rFonts w:eastAsia="方正仿宋_GBK"/>
                <w:color w:val="000000" w:themeColor="text1"/>
                <w:sz w:val="28"/>
                <w:szCs w:val="28"/>
              </w:rPr>
              <w:t>日印发</w:t>
            </w:r>
          </w:p>
        </w:tc>
      </w:tr>
    </w:tbl>
    <w:p>
      <w:pPr>
        <w:pStyle w:val="2"/>
      </w:pPr>
    </w:p>
    <w:sectPr>
      <w:footerReference r:id="rId3" w:type="default"/>
      <w:pgSz w:w="11906" w:h="16838"/>
      <w:pgMar w:top="2098" w:right="1474" w:bottom="1985" w:left="1588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pict>
        <v:shape id="_x0000_s19457" o:spid="_x0000_s19457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>
                <w:pPr>
                  <w:pStyle w:val="5"/>
                </w:pP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hAnsi="宋体" w:cs="宋体"/>
                    <w:sz w:val="28"/>
                    <w:szCs w:val="28"/>
                  </w:rPr>
                  <w:t>-</w:t>
                </w:r>
                <w:r>
                  <w:rPr>
                    <w:rFonts w:ascii="宋体" w:hAnsi="宋体" w:eastAsia="宋体" w:cs="宋体"/>
                    <w:sz w:val="28"/>
                    <w:szCs w:val="28"/>
                  </w:rPr>
                  <w:t xml:space="preserve"> 2 -</w: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9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WVmNThhYjVjOGJmOTAwZDk2MjQ5OWE5ZDAwYTI0YjEifQ=="/>
  </w:docVars>
  <w:rsids>
    <w:rsidRoot w:val="00642C53"/>
    <w:rsid w:val="00020FB3"/>
    <w:rsid w:val="000465C4"/>
    <w:rsid w:val="00095C51"/>
    <w:rsid w:val="000A7104"/>
    <w:rsid w:val="000D4EB5"/>
    <w:rsid w:val="000E5257"/>
    <w:rsid w:val="0014267B"/>
    <w:rsid w:val="0019708D"/>
    <w:rsid w:val="00205D0E"/>
    <w:rsid w:val="002738AC"/>
    <w:rsid w:val="002C1934"/>
    <w:rsid w:val="002D6100"/>
    <w:rsid w:val="00331BD2"/>
    <w:rsid w:val="00347F3F"/>
    <w:rsid w:val="00350972"/>
    <w:rsid w:val="00350F6F"/>
    <w:rsid w:val="003601EE"/>
    <w:rsid w:val="00383511"/>
    <w:rsid w:val="00385144"/>
    <w:rsid w:val="003B6D1F"/>
    <w:rsid w:val="003E1E01"/>
    <w:rsid w:val="003E645F"/>
    <w:rsid w:val="00446E27"/>
    <w:rsid w:val="0046550B"/>
    <w:rsid w:val="004974CE"/>
    <w:rsid w:val="004B3CB2"/>
    <w:rsid w:val="004D64A3"/>
    <w:rsid w:val="004F3DB2"/>
    <w:rsid w:val="00515740"/>
    <w:rsid w:val="00585FF1"/>
    <w:rsid w:val="005D3D94"/>
    <w:rsid w:val="005E75BA"/>
    <w:rsid w:val="00630B7F"/>
    <w:rsid w:val="00641753"/>
    <w:rsid w:val="00642C53"/>
    <w:rsid w:val="0067125F"/>
    <w:rsid w:val="006772A1"/>
    <w:rsid w:val="006A6CE4"/>
    <w:rsid w:val="006B2016"/>
    <w:rsid w:val="006C2F50"/>
    <w:rsid w:val="006D583F"/>
    <w:rsid w:val="006E1802"/>
    <w:rsid w:val="00701F8C"/>
    <w:rsid w:val="0073723F"/>
    <w:rsid w:val="00767FC3"/>
    <w:rsid w:val="00791AE3"/>
    <w:rsid w:val="007B1233"/>
    <w:rsid w:val="00814167"/>
    <w:rsid w:val="009247A5"/>
    <w:rsid w:val="0099460B"/>
    <w:rsid w:val="009B5ECE"/>
    <w:rsid w:val="00A63571"/>
    <w:rsid w:val="00A63F48"/>
    <w:rsid w:val="00AC1829"/>
    <w:rsid w:val="00AC4EC8"/>
    <w:rsid w:val="00B21F2C"/>
    <w:rsid w:val="00B70B2B"/>
    <w:rsid w:val="00B71E22"/>
    <w:rsid w:val="00B853AA"/>
    <w:rsid w:val="00B90554"/>
    <w:rsid w:val="00B95B3A"/>
    <w:rsid w:val="00BB3C78"/>
    <w:rsid w:val="00BE4F78"/>
    <w:rsid w:val="00C458BD"/>
    <w:rsid w:val="00C551E3"/>
    <w:rsid w:val="00C65322"/>
    <w:rsid w:val="00C86B21"/>
    <w:rsid w:val="00CA3C33"/>
    <w:rsid w:val="00CF4CB8"/>
    <w:rsid w:val="00D032BB"/>
    <w:rsid w:val="00D21825"/>
    <w:rsid w:val="00D5247A"/>
    <w:rsid w:val="00D84D07"/>
    <w:rsid w:val="00DB708E"/>
    <w:rsid w:val="00E37384"/>
    <w:rsid w:val="00E620F6"/>
    <w:rsid w:val="00E7662A"/>
    <w:rsid w:val="00EB2BFA"/>
    <w:rsid w:val="00ED39FC"/>
    <w:rsid w:val="00F21AE8"/>
    <w:rsid w:val="00F55ACA"/>
    <w:rsid w:val="00FB1B31"/>
    <w:rsid w:val="00FB53B2"/>
    <w:rsid w:val="04E85778"/>
    <w:rsid w:val="0EA66A37"/>
    <w:rsid w:val="0F2E5AE8"/>
    <w:rsid w:val="10AB1357"/>
    <w:rsid w:val="1C7D35B1"/>
    <w:rsid w:val="2AC84BEB"/>
    <w:rsid w:val="320D53BB"/>
    <w:rsid w:val="32E4458C"/>
    <w:rsid w:val="33322D60"/>
    <w:rsid w:val="33C2127A"/>
    <w:rsid w:val="38CE01A5"/>
    <w:rsid w:val="3B3D0CDD"/>
    <w:rsid w:val="3B751B9A"/>
    <w:rsid w:val="3C3F0A85"/>
    <w:rsid w:val="3D924A53"/>
    <w:rsid w:val="3EDB30F4"/>
    <w:rsid w:val="44982A9E"/>
    <w:rsid w:val="4821492F"/>
    <w:rsid w:val="4A9326C8"/>
    <w:rsid w:val="4D6640C3"/>
    <w:rsid w:val="4DEA6AA2"/>
    <w:rsid w:val="4E6C7F07"/>
    <w:rsid w:val="546155E5"/>
    <w:rsid w:val="554F18E1"/>
    <w:rsid w:val="5A040EEC"/>
    <w:rsid w:val="5A856E02"/>
    <w:rsid w:val="65A36C1A"/>
    <w:rsid w:val="667F32D4"/>
    <w:rsid w:val="66A554BF"/>
    <w:rsid w:val="68B94CF8"/>
    <w:rsid w:val="6EAB0331"/>
    <w:rsid w:val="719B2752"/>
    <w:rsid w:val="77D47CF8"/>
    <w:rsid w:val="7A7E1F85"/>
    <w:rsid w:val="7BAA0C82"/>
    <w:rsid w:val="7C9E2682"/>
    <w:rsid w:val="7CE668EA"/>
    <w:rsid w:val="7E081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9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4"/>
    <w:basedOn w:val="1"/>
    <w:next w:val="1"/>
    <w:link w:val="9"/>
    <w:qFormat/>
    <w:uiPriority w:val="99"/>
    <w:pPr>
      <w:spacing w:line="600" w:lineRule="exact"/>
      <w:outlineLvl w:val="3"/>
    </w:pPr>
    <w:rPr>
      <w:rFonts w:ascii="Calibri" w:hAnsi="Calibri" w:eastAsia="方正仿宋_GBK" w:cs="Times New Roman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标题 4 Char"/>
    <w:basedOn w:val="8"/>
    <w:link w:val="2"/>
    <w:qFormat/>
    <w:uiPriority w:val="99"/>
    <w:rPr>
      <w:rFonts w:ascii="Calibri" w:hAnsi="Calibri" w:eastAsia="方正仿宋_GBK" w:cs="Times New Roman"/>
    </w:rPr>
  </w:style>
  <w:style w:type="character" w:customStyle="1" w:styleId="10">
    <w:name w:val="页眉 Char"/>
    <w:basedOn w:val="8"/>
    <w:link w:val="6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5"/>
    <w:qFormat/>
    <w:uiPriority w:val="0"/>
    <w:rPr>
      <w:sz w:val="18"/>
      <w:szCs w:val="18"/>
    </w:rPr>
  </w:style>
  <w:style w:type="character" w:customStyle="1" w:styleId="12">
    <w:name w:val="批注框文本 Char"/>
    <w:basedOn w:val="8"/>
    <w:link w:val="4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945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Company</Company>
  <Pages>6</Pages>
  <Words>2133</Words>
  <Characters>2181</Characters>
  <Lines>15</Lines>
  <Paragraphs>4</Paragraphs>
  <TotalTime>21</TotalTime>
  <ScaleCrop>false</ScaleCrop>
  <LinksUpToDate>false</LinksUpToDate>
  <CharactersWithSpaces>2247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2021-06-27T06:15:00Z</dcterms:created>
  <dc:creator>刘梦娜</dc:creator>
  <cp:lastModifiedBy>千葉林子</cp:lastModifiedBy>
  <cp:lastPrinted>2024-06-27T02:11:32Z</cp:lastPrinted>
  <dcterms:modified xsi:type="dcterms:W3CDTF">2024-06-27T02:32:21Z</dcterms:modified>
  <cp:revision>49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16B9DC1123824B00A66D2B8D4114030F_13</vt:lpwstr>
  </property>
</Properties>
</file>